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F1" w:rsidRDefault="00E84EF1" w:rsidP="00E84EF1">
      <w:pPr>
        <w:contextualSpacing/>
        <w:jc w:val="center"/>
      </w:pPr>
      <w:r>
        <w:rPr>
          <w:rFonts w:ascii="Arial" w:hAnsi="Arial"/>
          <w:sz w:val="24"/>
        </w:rPr>
        <w:t xml:space="preserve">Der Mensch und die Götter: Ovid, </w:t>
      </w:r>
      <w:r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III 597 - 691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6283"/>
        <w:gridCol w:w="3497"/>
      </w:tblGrid>
      <w:tr w:rsidR="00E84EF1" w:rsidTr="002F084B">
        <w:trPr>
          <w:trHeight w:val="558"/>
        </w:trPr>
        <w:tc>
          <w:tcPr>
            <w:tcW w:w="10490" w:type="dxa"/>
            <w:gridSpan w:val="3"/>
            <w:shd w:val="clear" w:color="auto" w:fill="auto"/>
          </w:tcPr>
          <w:p w:rsidR="00E84EF1" w:rsidRDefault="00E84EF1" w:rsidP="002F084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4EF1" w:rsidRDefault="00E84EF1" w:rsidP="002F084B">
            <w:pPr>
              <w:spacing w:line="240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Nicht mit einem Gott!</w:t>
            </w:r>
          </w:p>
          <w:p w:rsidR="00E84EF1" w:rsidRDefault="00E84EF1" w:rsidP="002F084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4EF1" w:rsidTr="002F084B">
        <w:trPr>
          <w:trHeight w:val="8238"/>
        </w:trPr>
        <w:tc>
          <w:tcPr>
            <w:tcW w:w="710" w:type="dxa"/>
            <w:shd w:val="clear" w:color="auto" w:fill="auto"/>
          </w:tcPr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50</w:t>
            </w: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55</w:t>
            </w: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E84EF1" w:rsidRDefault="00E84EF1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6283" w:type="dxa"/>
            <w:shd w:val="clear" w:color="auto" w:fill="auto"/>
          </w:tcPr>
          <w:p w:rsidR="00E84EF1" w:rsidRDefault="00E84EF1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Tum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deus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inludens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tamquam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modo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denique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fraudem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senserit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e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puppi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pontum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prospectat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adunca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  <w:t xml:space="preserve">et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flenti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similis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"Non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haec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mihi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litora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nautae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promisistis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"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"Non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haec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mihi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terra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rogata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Quo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merui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poenam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facto?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Quae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gloria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vestra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</w:t>
            </w:r>
          </w:p>
          <w:p w:rsidR="00E84EF1" w:rsidRDefault="00E84EF1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si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puerum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iuvenes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si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multi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fallitis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unum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?"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Iamdudum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flebam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Lacrimas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manus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inpia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nostras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ridet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et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inpellit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properantibus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aequora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remis</w:t>
            </w:r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Per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tibi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nunc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ipsum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nec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enim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praesentior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illo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deus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)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adiuro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tibi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referre</w:t>
            </w:r>
            <w:proofErr w:type="spellEnd"/>
          </w:p>
          <w:p w:rsidR="00E84EF1" w:rsidRDefault="00E84EF1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veri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maiora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fide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Stetit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aequore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puppis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haud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aliter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si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siccam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 </w:t>
            </w:r>
            <w:hyperlink r:id="rId5">
              <w:proofErr w:type="spellStart"/>
              <w:r>
                <w:rPr>
                  <w:rStyle w:val="ListLabel1"/>
                  <w:rFonts w:eastAsiaTheme="minorEastAsia"/>
                </w:rPr>
                <w:t>navale</w:t>
              </w:r>
              <w:proofErr w:type="spellEnd"/>
            </w:hyperlink>
            <w:r>
              <w:rPr>
                <w:rFonts w:ascii="Arial" w:eastAsia="Times New Roman" w:hAnsi="Arial" w:cs="Times New Roman"/>
                <w:sz w:val="24"/>
              </w:rPr>
              <w:t> 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teneret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 </w:t>
            </w:r>
          </w:p>
          <w:p w:rsidR="00E84EF1" w:rsidRDefault="00E84EF1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Illi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admirantes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remorum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verbere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perstant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velaque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deducunt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gemina</w:t>
            </w:r>
            <w:r>
              <w:rPr>
                <w:rFonts w:ascii="Arial" w:eastAsia="Times New Roman" w:hAnsi="Arial" w:cs="Times New Roman"/>
                <w:sz w:val="24"/>
              </w:rPr>
              <w:t>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ope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currere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temptant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  <w:p w:rsidR="00E84EF1" w:rsidRDefault="00E84EF1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Inpediunt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hederae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remos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nexu</w:t>
            </w:r>
            <w:r>
              <w:rPr>
                <w:rFonts w:ascii="Arial" w:eastAsia="Times New Roman" w:hAnsi="Arial" w:cs="Times New Roman"/>
                <w:sz w:val="24"/>
              </w:rPr>
              <w:t>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recurvo</w:t>
            </w:r>
            <w:proofErr w:type="spellEnd"/>
          </w:p>
          <w:p w:rsidR="00E84EF1" w:rsidRDefault="00E84EF1" w:rsidP="002F084B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serpunt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et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gravidis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distinguunt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vela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corymbis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</w:tc>
        <w:tc>
          <w:tcPr>
            <w:tcW w:w="3497" w:type="dxa"/>
            <w:shd w:val="clear" w:color="auto" w:fill="auto"/>
          </w:tcPr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inludere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täuschen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puppis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Abl.Sg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-i - Heck, Achterdeck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aduncus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gebogen</w:t>
            </w: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impellere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(auf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 schlagen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 m - Ruder</w:t>
            </w: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adiurare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per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Akk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schwören bei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ipsum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und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= Bacchus</w:t>
            </w: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maior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die Glaubhaftigkeit des Wahr(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scheinlich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)en übersteigend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puppis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s.o.</w:t>
            </w: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sicca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- das Trockene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navale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navis</w:t>
            </w:r>
            <w:proofErr w:type="spellEnd"/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admirari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sich wundern, staunen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perstare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Abl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weitermachen mit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deducere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Segel einholen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geminus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a, um - doppelt, verdoppelt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hedera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Efeu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nexus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Knoten, Verschlingung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recurvus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gebogen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distinguere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verzieren</w:t>
            </w:r>
          </w:p>
          <w:p w:rsidR="00E84EF1" w:rsidRDefault="00E84EF1" w:rsidP="002F084B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corymbus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Blütentraube des Efeus</w:t>
            </w:r>
          </w:p>
          <w:p w:rsidR="00E84EF1" w:rsidRDefault="00E84EF1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4EF1" w:rsidRDefault="00E84EF1" w:rsidP="00E84EF1">
      <w:pPr>
        <w:contextualSpacing/>
      </w:pPr>
      <w:r>
        <w:rPr>
          <w:rFonts w:ascii="Arial" w:hAnsi="Arial" w:cs="Arial"/>
          <w:b/>
          <w:sz w:val="24"/>
        </w:rPr>
        <w:t>Aufgaben:</w:t>
      </w:r>
    </w:p>
    <w:p w:rsidR="00E84EF1" w:rsidRDefault="00E84EF1" w:rsidP="00E84EF1">
      <w:pPr>
        <w:contextualSpacing/>
      </w:pPr>
      <w:r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sz w:val="24"/>
        </w:rPr>
        <w:tab/>
        <w:t>Bestimmen Sie den Kasus und seine Funktion:</w:t>
      </w:r>
    </w:p>
    <w:p w:rsidR="00E84EF1" w:rsidRDefault="00E84EF1" w:rsidP="00E84EF1">
      <w:pPr>
        <w:contextualSpacing/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i/>
          <w:sz w:val="24"/>
        </w:rPr>
        <w:t>flenti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(V. 48), </w:t>
      </w:r>
      <w:proofErr w:type="spellStart"/>
      <w:r>
        <w:rPr>
          <w:rFonts w:ascii="Arial" w:hAnsi="Arial" w:cs="Arial"/>
          <w:i/>
          <w:sz w:val="24"/>
        </w:rPr>
        <w:t>mihi</w:t>
      </w:r>
      <w:proofErr w:type="spellEnd"/>
      <w:r>
        <w:rPr>
          <w:rFonts w:ascii="Arial" w:hAnsi="Arial" w:cs="Arial"/>
          <w:sz w:val="24"/>
        </w:rPr>
        <w:t xml:space="preserve"> (V. 49), </w:t>
      </w:r>
      <w:r>
        <w:rPr>
          <w:rFonts w:ascii="Arial" w:hAnsi="Arial" w:cs="Arial"/>
          <w:i/>
          <w:sz w:val="24"/>
        </w:rPr>
        <w:t>quo facto</w:t>
      </w:r>
      <w:r>
        <w:rPr>
          <w:rFonts w:ascii="Arial" w:hAnsi="Arial" w:cs="Arial"/>
          <w:sz w:val="24"/>
        </w:rPr>
        <w:t xml:space="preserve"> (V. 50), </w:t>
      </w:r>
      <w:proofErr w:type="spellStart"/>
      <w:r>
        <w:rPr>
          <w:rFonts w:ascii="Arial" w:hAnsi="Arial" w:cs="Arial"/>
          <w:i/>
          <w:sz w:val="24"/>
        </w:rPr>
        <w:t>illo</w:t>
      </w:r>
      <w:proofErr w:type="spellEnd"/>
      <w:r>
        <w:rPr>
          <w:rFonts w:ascii="Arial" w:hAnsi="Arial" w:cs="Arial"/>
          <w:sz w:val="24"/>
        </w:rPr>
        <w:t xml:space="preserve"> (V.54), </w:t>
      </w:r>
      <w:proofErr w:type="spellStart"/>
      <w:r>
        <w:rPr>
          <w:rFonts w:ascii="Arial" w:hAnsi="Arial" w:cs="Arial"/>
          <w:i/>
          <w:sz w:val="24"/>
        </w:rPr>
        <w:t>aequore</w:t>
      </w:r>
      <w:proofErr w:type="spellEnd"/>
      <w:r>
        <w:rPr>
          <w:rFonts w:ascii="Arial" w:hAnsi="Arial" w:cs="Arial"/>
          <w:sz w:val="24"/>
        </w:rPr>
        <w:t xml:space="preserve"> (V. 56)</w:t>
      </w:r>
    </w:p>
    <w:p w:rsidR="00E84EF1" w:rsidRDefault="00E84EF1" w:rsidP="00E84EF1">
      <w:pPr>
        <w:contextualSpacing/>
      </w:pPr>
      <w:r>
        <w:rPr>
          <w:rFonts w:ascii="Arial" w:hAnsi="Arial" w:cs="Arial"/>
          <w:sz w:val="24"/>
        </w:rPr>
        <w:t xml:space="preserve">2.   </w:t>
      </w:r>
      <w:r>
        <w:rPr>
          <w:rFonts w:ascii="Arial" w:hAnsi="Arial" w:cs="Arial"/>
          <w:sz w:val="24"/>
        </w:rPr>
        <w:tab/>
        <w:t xml:space="preserve">Bestimmen Sie das Tempus und die </w:t>
      </w:r>
      <w:proofErr w:type="spellStart"/>
      <w:r>
        <w:rPr>
          <w:rFonts w:ascii="Arial" w:hAnsi="Arial" w:cs="Arial"/>
          <w:sz w:val="24"/>
        </w:rPr>
        <w:t>die</w:t>
      </w:r>
      <w:proofErr w:type="spellEnd"/>
      <w:r>
        <w:rPr>
          <w:rFonts w:ascii="Arial" w:hAnsi="Arial" w:cs="Arial"/>
          <w:sz w:val="24"/>
        </w:rPr>
        <w:t xml:space="preserve"> Funktion der Konjunktive:</w:t>
      </w:r>
    </w:p>
    <w:p w:rsidR="00E84EF1" w:rsidRDefault="00E84EF1" w:rsidP="00E84EF1">
      <w:pPr>
        <w:contextualSpacing/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i/>
          <w:sz w:val="24"/>
        </w:rPr>
        <w:t>senserit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(V. 47), </w:t>
      </w:r>
      <w:proofErr w:type="spellStart"/>
      <w:r>
        <w:rPr>
          <w:rFonts w:ascii="Arial" w:hAnsi="Arial" w:cs="Arial"/>
          <w:i/>
          <w:sz w:val="24"/>
        </w:rPr>
        <w:t>teneret</w:t>
      </w:r>
      <w:proofErr w:type="spellEnd"/>
      <w:r>
        <w:rPr>
          <w:rFonts w:ascii="Arial" w:hAnsi="Arial" w:cs="Arial"/>
          <w:sz w:val="24"/>
        </w:rPr>
        <w:t xml:space="preserve"> (V. 57)</w:t>
      </w:r>
    </w:p>
    <w:p w:rsidR="00E84EF1" w:rsidRDefault="00E84EF1" w:rsidP="00E84EF1">
      <w:pPr>
        <w:contextualSpacing/>
      </w:pPr>
      <w:r>
        <w:rPr>
          <w:rFonts w:ascii="Arial" w:hAnsi="Arial" w:cs="Arial"/>
          <w:sz w:val="24"/>
        </w:rPr>
        <w:t xml:space="preserve">3.   </w:t>
      </w:r>
      <w:r>
        <w:rPr>
          <w:rFonts w:ascii="Arial" w:hAnsi="Arial" w:cs="Arial"/>
          <w:sz w:val="24"/>
        </w:rPr>
        <w:tab/>
        <w:t xml:space="preserve">Bacchus ist auch rhetorisch gut. Untersuchen Sie seine Rede (V. 48 - 51) auf </w:t>
      </w:r>
      <w:r>
        <w:rPr>
          <w:rFonts w:ascii="Arial" w:hAnsi="Arial" w:cs="Arial"/>
          <w:sz w:val="24"/>
        </w:rPr>
        <w:tab/>
        <w:t>Stilmittel, die seine Täuschungsabsicht unterstützen.</w:t>
      </w:r>
    </w:p>
    <w:p w:rsidR="002A7775" w:rsidRDefault="00E84EF1">
      <w:pPr>
        <w:contextualSpacing/>
      </w:pPr>
      <w:r>
        <w:rPr>
          <w:rFonts w:ascii="Arial" w:hAnsi="Arial" w:cs="Arial"/>
          <w:sz w:val="24"/>
        </w:rPr>
        <w:t xml:space="preserve">4.   </w:t>
      </w:r>
      <w:r>
        <w:rPr>
          <w:rFonts w:ascii="Arial" w:hAnsi="Arial" w:cs="Arial"/>
          <w:sz w:val="24"/>
        </w:rPr>
        <w:tab/>
        <w:t xml:space="preserve">Diskutieren Sie, inwiefern Bacchus' Rede für die Seeleute die Gefahr, sich weiter in </w:t>
      </w:r>
      <w:r>
        <w:rPr>
          <w:rFonts w:ascii="Arial" w:hAnsi="Arial" w:cs="Arial"/>
          <w:sz w:val="24"/>
        </w:rPr>
        <w:tab/>
        <w:t xml:space="preserve">eine folgenschwere Situation hineinzumanövrieren birgt, aber auch eine Chance zur </w:t>
      </w:r>
      <w:r>
        <w:rPr>
          <w:rFonts w:ascii="Arial" w:hAnsi="Arial" w:cs="Arial"/>
          <w:sz w:val="24"/>
        </w:rPr>
        <w:tab/>
        <w:t>rechtzeitigen Umkehr.</w:t>
      </w:r>
      <w:bookmarkStart w:id="0" w:name="_GoBack"/>
      <w:bookmarkEnd w:id="0"/>
    </w:p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F1"/>
    <w:rsid w:val="001453B0"/>
    <w:rsid w:val="002A7775"/>
    <w:rsid w:val="005C0961"/>
    <w:rsid w:val="00773977"/>
    <w:rsid w:val="00E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49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EF1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sid w:val="00E84EF1"/>
    <w:rPr>
      <w:rFonts w:ascii="Arial" w:eastAsia="Times New Roman" w:hAnsi="Arial" w:cs="Times New Roman"/>
      <w:sz w:val="24"/>
      <w:u w:val="single"/>
    </w:rPr>
  </w:style>
  <w:style w:type="table" w:styleId="Tabellenraster">
    <w:name w:val="Table Grid"/>
    <w:basedOn w:val="NormaleTabelle"/>
    <w:uiPriority w:val="59"/>
    <w:rsid w:val="00E84EF1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EF1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sid w:val="00E84EF1"/>
    <w:rPr>
      <w:rFonts w:ascii="Arial" w:eastAsia="Times New Roman" w:hAnsi="Arial" w:cs="Times New Roman"/>
      <w:sz w:val="24"/>
      <w:u w:val="single"/>
    </w:rPr>
  </w:style>
  <w:style w:type="table" w:styleId="Tabellenraster">
    <w:name w:val="Table Grid"/>
    <w:basedOn w:val="NormaleTabelle"/>
    <w:uiPriority w:val="59"/>
    <w:rsid w:val="00E84EF1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ttwein.de/Lat/ov/met03la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1</cp:revision>
  <dcterms:created xsi:type="dcterms:W3CDTF">2019-03-03T11:33:00Z</dcterms:created>
  <dcterms:modified xsi:type="dcterms:W3CDTF">2019-03-03T11:33:00Z</dcterms:modified>
</cp:coreProperties>
</file>